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1" w:rsidRDefault="007A1A51" w:rsidP="0007405C">
      <w:pPr>
        <w:spacing w:after="0" w:line="240" w:lineRule="auto"/>
        <w:rPr>
          <w:rStyle w:val="tlid-translation"/>
        </w:rPr>
      </w:pPr>
      <w:proofErr w:type="spellStart"/>
      <w:r>
        <w:rPr>
          <w:rStyle w:val="tlid-translation"/>
        </w:rPr>
        <w:t>Sero</w:t>
      </w:r>
      <w:proofErr w:type="spellEnd"/>
      <w:r w:rsidR="002D0B8E">
        <w:rPr>
          <w:rStyle w:val="tlid-translation"/>
        </w:rPr>
        <w:t>-E</w:t>
      </w:r>
      <w:r>
        <w:rPr>
          <w:rStyle w:val="tlid-translation"/>
        </w:rPr>
        <w:t xml:space="preserve">pidemiologische Studie zur SARS-CoV-2. </w:t>
      </w:r>
    </w:p>
    <w:p w:rsidR="00E96C61" w:rsidRDefault="00E96C61" w:rsidP="0007405C">
      <w:pPr>
        <w:spacing w:after="0" w:line="240" w:lineRule="auto"/>
        <w:rPr>
          <w:rStyle w:val="tlid-translation"/>
        </w:rPr>
      </w:pPr>
    </w:p>
    <w:p w:rsidR="00E96C61" w:rsidRDefault="007A1A51" w:rsidP="0007405C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Die Studie w</w:t>
      </w:r>
      <w:r w:rsidR="004F61C6">
        <w:rPr>
          <w:rStyle w:val="tlid-translation"/>
        </w:rPr>
        <w:t>i</w:t>
      </w:r>
      <w:r>
        <w:rPr>
          <w:rStyle w:val="tlid-translation"/>
        </w:rPr>
        <w:t xml:space="preserve">rd während der anhaltenden Pandemie im Frühjahr </w:t>
      </w:r>
      <w:r w:rsidR="00E96C61">
        <w:rPr>
          <w:rStyle w:val="tlid-translation"/>
        </w:rPr>
        <w:t xml:space="preserve">und Herbst </w:t>
      </w:r>
      <w:r>
        <w:rPr>
          <w:rStyle w:val="tlid-translation"/>
        </w:rPr>
        <w:t>2020 durchgeführt. Die Ergebnisse werden anschließend veröffentlicht. Dies ist der erste Unterbericht.</w:t>
      </w:r>
      <w:r w:rsidR="004F61C6">
        <w:rPr>
          <w:rStyle w:val="tlid-translation"/>
        </w:rPr>
        <w:t xml:space="preserve"> </w:t>
      </w:r>
      <w:r>
        <w:br/>
      </w:r>
      <w:r>
        <w:rPr>
          <w:rStyle w:val="tlid-translation"/>
        </w:rPr>
        <w:t>Im Zeitraum vom 20. April bis 12. Juni werden in 9 Regionen Schwedens Proben aus der Ambulanz entnommen. Parallel dazu werden auch Proben von Blutspendern aus diesen Regionen entnommen.</w:t>
      </w:r>
      <w:r>
        <w:br/>
      </w:r>
      <w:r>
        <w:rPr>
          <w:rStyle w:val="tlid-translation"/>
        </w:rPr>
        <w:t>Der Antikörpernachweis erfolgt mit einer Multiplexmethode (</w:t>
      </w:r>
      <w:proofErr w:type="spellStart"/>
      <w:r>
        <w:rPr>
          <w:rStyle w:val="tlid-translation"/>
        </w:rPr>
        <w:t>Sci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LifeLab</w:t>
      </w:r>
      <w:proofErr w:type="spellEnd"/>
      <w:r>
        <w:rPr>
          <w:rStyle w:val="tlid-translation"/>
        </w:rPr>
        <w:t xml:space="preserve"> / KTH). Um die Leistung der Methode zu bestimmen, wurden 270 negative Proben und 157 positive Proben analysiert und eine negative Kontrolle wird 2019 und früher gesammelt.</w:t>
      </w:r>
      <w:r>
        <w:br/>
      </w:r>
      <w:r>
        <w:rPr>
          <w:rStyle w:val="tlid-translation"/>
        </w:rPr>
        <w:t xml:space="preserve">Bei der Analyse der oben aufgeführten Proben </w:t>
      </w:r>
      <w:proofErr w:type="gramStart"/>
      <w:r>
        <w:rPr>
          <w:rStyle w:val="tlid-translation"/>
        </w:rPr>
        <w:t>wurde</w:t>
      </w:r>
      <w:proofErr w:type="gramEnd"/>
      <w:r>
        <w:rPr>
          <w:rStyle w:val="tlid-translation"/>
        </w:rPr>
        <w:t xml:space="preserve"> eine Spezifität von 98,9% und eine Sensitivität von 99,4% basierend auf den nachstehenden Ergebnissen </w:t>
      </w:r>
      <w:r w:rsidR="00E96C61">
        <w:rPr>
          <w:rStyle w:val="tlid-translation"/>
        </w:rPr>
        <w:t>ermittelt</w:t>
      </w:r>
      <w:r>
        <w:rPr>
          <w:rStyle w:val="tlid-translation"/>
        </w:rPr>
        <w:t>.</w:t>
      </w:r>
      <w:r>
        <w:br/>
      </w:r>
    </w:p>
    <w:p w:rsidR="00E96C61" w:rsidRDefault="007A1A51" w:rsidP="00E96C61">
      <w:pPr>
        <w:spacing w:after="0" w:line="240" w:lineRule="auto"/>
        <w:ind w:left="1416" w:firstLine="708"/>
        <w:rPr>
          <w:rStyle w:val="tlid-translation"/>
        </w:rPr>
      </w:pPr>
      <w:r>
        <w:rPr>
          <w:rStyle w:val="tlid-translation"/>
        </w:rPr>
        <w:t>Negative Proben</w:t>
      </w:r>
      <w:r w:rsidR="00E96C61">
        <w:rPr>
          <w:rStyle w:val="tlid-translation"/>
        </w:rPr>
        <w:t xml:space="preserve"> </w:t>
      </w:r>
      <w:r w:rsidR="00E96C61">
        <w:rPr>
          <w:rStyle w:val="tlid-translation"/>
        </w:rPr>
        <w:tab/>
      </w:r>
      <w:r w:rsidR="00E96C61">
        <w:rPr>
          <w:rStyle w:val="tlid-translation"/>
        </w:rPr>
        <w:t xml:space="preserve">Positive </w:t>
      </w:r>
      <w:r w:rsidR="00E96C61">
        <w:rPr>
          <w:rStyle w:val="tlid-translation"/>
        </w:rPr>
        <w:t>Proben</w:t>
      </w:r>
    </w:p>
    <w:p w:rsidR="00E96C61" w:rsidRDefault="007A1A51" w:rsidP="00E96C61">
      <w:pPr>
        <w:spacing w:after="0" w:line="240" w:lineRule="auto"/>
        <w:ind w:left="1416" w:firstLine="708"/>
        <w:rPr>
          <w:rStyle w:val="tlid-translation"/>
        </w:rPr>
      </w:pPr>
      <w:r>
        <w:rPr>
          <w:rStyle w:val="tlid-translation"/>
        </w:rPr>
        <w:t>(N = 270)</w:t>
      </w:r>
      <w:r w:rsidR="00E96C61">
        <w:rPr>
          <w:rStyle w:val="tlid-translation"/>
        </w:rPr>
        <w:tab/>
        <w:t xml:space="preserve"> </w:t>
      </w:r>
      <w:r w:rsidR="00E96C61">
        <w:rPr>
          <w:rStyle w:val="tlid-translation"/>
        </w:rPr>
        <w:tab/>
      </w:r>
      <w:r>
        <w:rPr>
          <w:rStyle w:val="tlid-translation"/>
        </w:rPr>
        <w:t>(N = 157)</w:t>
      </w:r>
      <w:r w:rsidR="00E96C61">
        <w:rPr>
          <w:rStyle w:val="tlid-translation"/>
        </w:rPr>
        <w:t xml:space="preserve">, </w:t>
      </w:r>
    </w:p>
    <w:p w:rsidR="00E96C61" w:rsidRDefault="00E96C61" w:rsidP="00E96C61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Negatives Ergebnis</w:t>
      </w:r>
      <w:r>
        <w:rPr>
          <w:rStyle w:val="tlid-translation"/>
        </w:rPr>
        <w:tab/>
        <w:t>267</w:t>
      </w: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  <w:t>1</w:t>
      </w:r>
    </w:p>
    <w:p w:rsidR="00E96C61" w:rsidRDefault="00E96C61" w:rsidP="00E96C61">
      <w:pPr>
        <w:spacing w:after="0" w:line="240" w:lineRule="auto"/>
        <w:ind w:firstLine="708"/>
        <w:rPr>
          <w:rStyle w:val="tlid-translation"/>
        </w:rPr>
      </w:pPr>
    </w:p>
    <w:p w:rsidR="007A1A51" w:rsidRDefault="007A1A51" w:rsidP="00E9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tlid-translation"/>
        </w:rPr>
        <w:t>Positives Ergebnis</w:t>
      </w:r>
      <w:r w:rsidR="00E96C61">
        <w:rPr>
          <w:rStyle w:val="tlid-translation"/>
        </w:rPr>
        <w:t xml:space="preserve"> </w:t>
      </w:r>
      <w:r w:rsidR="00E96C61">
        <w:rPr>
          <w:rStyle w:val="tlid-translation"/>
        </w:rPr>
        <w:tab/>
      </w:r>
      <w:r>
        <w:rPr>
          <w:rStyle w:val="tlid-translation"/>
        </w:rPr>
        <w:t>3</w:t>
      </w:r>
      <w:r w:rsidR="00E96C61">
        <w:rPr>
          <w:rStyle w:val="tlid-translation"/>
        </w:rPr>
        <w:tab/>
      </w:r>
      <w:r w:rsidR="00E96C61">
        <w:rPr>
          <w:rStyle w:val="tlid-translation"/>
        </w:rPr>
        <w:tab/>
      </w:r>
      <w:r w:rsidR="00E96C61">
        <w:rPr>
          <w:rStyle w:val="tlid-translation"/>
        </w:rPr>
        <w:tab/>
      </w:r>
      <w:r>
        <w:rPr>
          <w:rStyle w:val="tlid-translation"/>
        </w:rPr>
        <w:t>156</w:t>
      </w:r>
    </w:p>
    <w:p w:rsidR="00E96C61" w:rsidRDefault="00E96C61" w:rsidP="00E96C61">
      <w:pPr>
        <w:pStyle w:val="Default"/>
      </w:pPr>
    </w:p>
    <w:p w:rsidR="00E96C61" w:rsidRPr="004F61C6" w:rsidRDefault="0007405C" w:rsidP="0007405C">
      <w:pPr>
        <w:spacing w:after="0" w:line="240" w:lineRule="auto"/>
        <w:rPr>
          <w:rStyle w:val="tlid-translation"/>
        </w:rPr>
      </w:pPr>
      <w:r w:rsidRPr="004F61C6">
        <w:rPr>
          <w:rStyle w:val="tlid-translation"/>
        </w:rPr>
        <w:t>Vorläufige Ergebnisse für Proben, die in Woche 18 bis Woche 20 gesammelt wurden</w:t>
      </w:r>
      <w:r w:rsidR="00E96C61" w:rsidRPr="004F61C6">
        <w:rPr>
          <w:rStyle w:val="tlid-translation"/>
        </w:rPr>
        <w:t>.</w:t>
      </w:r>
      <w:r w:rsidRPr="004F61C6">
        <w:rPr>
          <w:rStyle w:val="tlid-translation"/>
        </w:rPr>
        <w:br/>
      </w:r>
    </w:p>
    <w:p w:rsidR="0037331C" w:rsidRDefault="00E96C61" w:rsidP="0007405C">
      <w:pPr>
        <w:spacing w:after="0" w:line="240" w:lineRule="auto"/>
        <w:rPr>
          <w:rStyle w:val="tlid-translation"/>
        </w:rPr>
      </w:pPr>
      <w:r w:rsidRPr="004F61C6">
        <w:rPr>
          <w:rStyle w:val="tlid-translation"/>
        </w:rPr>
        <w:t>Wir b</w:t>
      </w:r>
      <w:r w:rsidR="0007405C" w:rsidRPr="004F61C6">
        <w:rPr>
          <w:rStyle w:val="tlid-translation"/>
        </w:rPr>
        <w:t>erichten hier über vorläufige Ergebnisse für Proben aus de</w:t>
      </w:r>
      <w:r w:rsidR="004F61C6">
        <w:rPr>
          <w:rStyle w:val="tlid-translation"/>
        </w:rPr>
        <w:t xml:space="preserve">n </w:t>
      </w:r>
      <w:r w:rsidR="0007405C" w:rsidRPr="004F61C6">
        <w:rPr>
          <w:rStyle w:val="tlid-translation"/>
        </w:rPr>
        <w:t>Woche</w:t>
      </w:r>
      <w:r w:rsidR="004F61C6">
        <w:rPr>
          <w:rStyle w:val="tlid-translation"/>
        </w:rPr>
        <w:t xml:space="preserve">n </w:t>
      </w:r>
      <w:r w:rsidR="0007405C" w:rsidRPr="004F61C6">
        <w:rPr>
          <w:rStyle w:val="tlid-translation"/>
        </w:rPr>
        <w:t>18</w:t>
      </w:r>
      <w:r w:rsidR="004F61C6">
        <w:rPr>
          <w:rStyle w:val="tlid-translation"/>
        </w:rPr>
        <w:t xml:space="preserve"> bis</w:t>
      </w:r>
      <w:r w:rsidR="0007405C" w:rsidRPr="004F61C6">
        <w:rPr>
          <w:rStyle w:val="tlid-translation"/>
        </w:rPr>
        <w:t xml:space="preserve"> 20. Da nur ein kleiner Teil der gesammelten Proben aus Woche 17 getestet wurde, werden diese noch nicht gemeldet. Daten auf regionaler Ebene werden nur für Stockholm, </w:t>
      </w:r>
      <w:proofErr w:type="spellStart"/>
      <w:r w:rsidR="0007405C" w:rsidRPr="004F61C6">
        <w:rPr>
          <w:rStyle w:val="tlid-translation"/>
        </w:rPr>
        <w:t>Västra</w:t>
      </w:r>
      <w:proofErr w:type="spellEnd"/>
      <w:r w:rsidR="0007405C" w:rsidRPr="004F61C6">
        <w:rPr>
          <w:rStyle w:val="tlid-translation"/>
        </w:rPr>
        <w:t xml:space="preserve"> </w:t>
      </w:r>
      <w:proofErr w:type="spellStart"/>
      <w:r w:rsidR="0007405C" w:rsidRPr="004F61C6">
        <w:rPr>
          <w:rStyle w:val="tlid-translation"/>
        </w:rPr>
        <w:t>Götaland</w:t>
      </w:r>
      <w:proofErr w:type="spellEnd"/>
      <w:r w:rsidR="0007405C" w:rsidRPr="004F61C6">
        <w:rPr>
          <w:rStyle w:val="tlid-translation"/>
        </w:rPr>
        <w:t xml:space="preserve"> und </w:t>
      </w:r>
      <w:proofErr w:type="spellStart"/>
      <w:r w:rsidR="0007405C" w:rsidRPr="004F61C6">
        <w:rPr>
          <w:rStyle w:val="tlid-translation"/>
        </w:rPr>
        <w:t>Skåne</w:t>
      </w:r>
      <w:proofErr w:type="spellEnd"/>
      <w:r w:rsidR="0007405C" w:rsidRPr="004F61C6">
        <w:rPr>
          <w:rStyle w:val="tlid-translation"/>
        </w:rPr>
        <w:t xml:space="preserve"> vorgelegt, da die Anzahl der für die anderen Regionen gesammelten Proben weniger als 100 beträgt und daher keine verlässlichen Ergebnisse liefern kann.</w:t>
      </w:r>
      <w:r w:rsidRPr="004F61C6">
        <w:rPr>
          <w:rStyle w:val="tlid-translation"/>
        </w:rPr>
        <w:t xml:space="preserve"> </w:t>
      </w:r>
      <w:r w:rsidR="0007405C" w:rsidRPr="004F61C6">
        <w:rPr>
          <w:rStyle w:val="tlid-translation"/>
        </w:rPr>
        <w:t>Alle Ergebnisse wurden nach der jeweiligen Altersverteilung gewichtet.</w:t>
      </w:r>
      <w:r w:rsidR="0007405C" w:rsidRPr="004F61C6">
        <w:rPr>
          <w:rStyle w:val="tlid-translation"/>
        </w:rPr>
        <w:br/>
      </w:r>
      <w:proofErr w:type="spellStart"/>
      <w:r w:rsidR="004F61C6" w:rsidRPr="004F61C6">
        <w:rPr>
          <w:rStyle w:val="tlid-translation"/>
          <w:b/>
        </w:rPr>
        <w:t>Beprobungs</w:t>
      </w:r>
      <w:r w:rsidR="0007405C" w:rsidRPr="004F61C6">
        <w:rPr>
          <w:rStyle w:val="tlid-translation"/>
          <w:b/>
        </w:rPr>
        <w:t>zeitraum</w:t>
      </w:r>
      <w:proofErr w:type="spellEnd"/>
      <w:r w:rsidR="0007405C" w:rsidRPr="004F61C6">
        <w:rPr>
          <w:rStyle w:val="tlid-translation"/>
          <w:b/>
        </w:rPr>
        <w:t xml:space="preserve"> 27. April - 3. Mai (Woche 18)</w:t>
      </w:r>
      <w:r w:rsidR="0007405C" w:rsidRPr="004F61C6">
        <w:rPr>
          <w:rStyle w:val="tlid-translation"/>
        </w:rPr>
        <w:br/>
        <w:t xml:space="preserve">Die Analyse zeigt eine </w:t>
      </w:r>
      <w:proofErr w:type="spellStart"/>
      <w:r w:rsidR="0007405C" w:rsidRPr="004F61C6">
        <w:rPr>
          <w:rStyle w:val="tlid-translation"/>
        </w:rPr>
        <w:t>Seroprävalenz</w:t>
      </w:r>
      <w:proofErr w:type="spellEnd"/>
      <w:r w:rsidR="0007405C" w:rsidRPr="004F61C6">
        <w:rPr>
          <w:rStyle w:val="tlid-translation"/>
        </w:rPr>
        <w:t xml:space="preserve"> von 5,5% (95% CI 3,98-7,27) in der Bevölkerung, wobei ein geringer Anteil an Antikörpern bei älteren Erwachsenen im Alter von 65-95 Jahren positiv ist (2,7%, 95% CI 1.294,88). Der Anteil an Antikörpern, die bei Erwachsenen zwischen 20 und 64 Jahren positiv waren, betrug 6,7% (95% CI 4,41</w:t>
      </w:r>
      <w:r w:rsidRPr="004F61C6">
        <w:rPr>
          <w:rStyle w:val="tlid-translation"/>
        </w:rPr>
        <w:t xml:space="preserve">- </w:t>
      </w:r>
      <w:r w:rsidR="0007405C" w:rsidRPr="004F61C6">
        <w:rPr>
          <w:rStyle w:val="tlid-translation"/>
        </w:rPr>
        <w:t xml:space="preserve">9,79) und bei </w:t>
      </w:r>
      <w:r w:rsidR="0007405C" w:rsidRPr="004F61C6">
        <w:rPr>
          <w:rStyle w:val="tlid-translation"/>
          <w:b/>
        </w:rPr>
        <w:t>Kindern 4,7%</w:t>
      </w:r>
      <w:r w:rsidR="0007405C" w:rsidRPr="004F61C6">
        <w:rPr>
          <w:rStyle w:val="tlid-translation"/>
        </w:rPr>
        <w:t xml:space="preserve"> (95% CI 2,77-7,45), Abbildung 1.</w:t>
      </w:r>
      <w:r w:rsidR="0007405C" w:rsidRPr="004F61C6">
        <w:rPr>
          <w:rStyle w:val="tlid-translation"/>
        </w:rPr>
        <w:br/>
      </w:r>
    </w:p>
    <w:p w:rsidR="00E96C61" w:rsidRPr="004F61C6" w:rsidRDefault="0007405C" w:rsidP="0007405C">
      <w:pPr>
        <w:spacing w:after="0" w:line="240" w:lineRule="auto"/>
        <w:rPr>
          <w:rStyle w:val="tlid-translation"/>
        </w:rPr>
      </w:pPr>
      <w:bookmarkStart w:id="0" w:name="_GoBack"/>
      <w:bookmarkEnd w:id="0"/>
      <w:r w:rsidRPr="004F61C6">
        <w:rPr>
          <w:rStyle w:val="tlid-translation"/>
        </w:rPr>
        <w:t>Die Region Stockholm hatte den höchsten Anteil an Antikörper-positiven 7,9% (95% CI 5,04</w:t>
      </w:r>
      <w:r w:rsidR="0037331C">
        <w:rPr>
          <w:rStyle w:val="tlid-translation"/>
        </w:rPr>
        <w:t>-</w:t>
      </w:r>
      <w:r w:rsidRPr="004F61C6">
        <w:rPr>
          <w:rStyle w:val="tlid-translation"/>
        </w:rPr>
        <w:t xml:space="preserve">11,77), gefolgt von </w:t>
      </w:r>
      <w:proofErr w:type="spellStart"/>
      <w:r w:rsidRPr="004F61C6">
        <w:rPr>
          <w:rStyle w:val="tlid-translation"/>
        </w:rPr>
        <w:t>Skåne</w:t>
      </w:r>
      <w:proofErr w:type="spellEnd"/>
      <w:r w:rsidRPr="004F61C6">
        <w:rPr>
          <w:rStyle w:val="tlid-translation"/>
        </w:rPr>
        <w:t xml:space="preserve"> mit 4,9% (95% CI 2,06-9,53) und </w:t>
      </w:r>
      <w:proofErr w:type="spellStart"/>
      <w:r w:rsidRPr="004F61C6">
        <w:rPr>
          <w:rStyle w:val="tlid-translation"/>
        </w:rPr>
        <w:t>Västra</w:t>
      </w:r>
      <w:proofErr w:type="spellEnd"/>
      <w:r w:rsidRPr="004F61C6">
        <w:rPr>
          <w:rStyle w:val="tlid-translation"/>
        </w:rPr>
        <w:t xml:space="preserve"> </w:t>
      </w:r>
      <w:proofErr w:type="spellStart"/>
      <w:r w:rsidRPr="004F61C6">
        <w:rPr>
          <w:rStyle w:val="tlid-translation"/>
        </w:rPr>
        <w:t>Götaland</w:t>
      </w:r>
      <w:proofErr w:type="spellEnd"/>
      <w:r w:rsidRPr="004F61C6">
        <w:rPr>
          <w:rStyle w:val="tlid-translation"/>
        </w:rPr>
        <w:t xml:space="preserve"> mit 4,9% (95%) KI 2.21-9.10).</w:t>
      </w:r>
      <w:r w:rsidR="00E96C61" w:rsidRPr="004F61C6">
        <w:rPr>
          <w:rStyle w:val="tlid-translation"/>
        </w:rPr>
        <w:t xml:space="preserve"> </w:t>
      </w:r>
    </w:p>
    <w:p w:rsidR="0037331C" w:rsidRDefault="0037331C" w:rsidP="0007405C">
      <w:pPr>
        <w:spacing w:after="0" w:line="240" w:lineRule="auto"/>
        <w:rPr>
          <w:rStyle w:val="tlid-translation"/>
          <w:b/>
        </w:rPr>
      </w:pPr>
    </w:p>
    <w:p w:rsidR="0037331C" w:rsidRDefault="004F61C6" w:rsidP="0007405C">
      <w:pPr>
        <w:spacing w:after="0" w:line="240" w:lineRule="auto"/>
        <w:rPr>
          <w:rStyle w:val="tlid-translation"/>
        </w:rPr>
      </w:pPr>
      <w:proofErr w:type="spellStart"/>
      <w:r w:rsidRPr="004F61C6">
        <w:rPr>
          <w:rStyle w:val="tlid-translation"/>
          <w:b/>
        </w:rPr>
        <w:t>Beprobungszeitraum</w:t>
      </w:r>
      <w:proofErr w:type="spellEnd"/>
      <w:r w:rsidR="0007405C" w:rsidRPr="004F61C6">
        <w:rPr>
          <w:rStyle w:val="tlid-translation"/>
          <w:b/>
        </w:rPr>
        <w:t xml:space="preserve"> 4. bis 10. Mai (Woche 19)</w:t>
      </w:r>
      <w:r w:rsidR="0007405C" w:rsidRPr="004F61C6">
        <w:rPr>
          <w:rStyle w:val="tlid-translation"/>
        </w:rPr>
        <w:br/>
        <w:t xml:space="preserve">Die Analyse zeigt eine </w:t>
      </w:r>
      <w:proofErr w:type="spellStart"/>
      <w:r w:rsidR="0007405C" w:rsidRPr="004F61C6">
        <w:rPr>
          <w:rStyle w:val="tlid-translation"/>
        </w:rPr>
        <w:t>Seroprävalenz</w:t>
      </w:r>
      <w:proofErr w:type="spellEnd"/>
      <w:r w:rsidR="0007405C" w:rsidRPr="004F61C6">
        <w:rPr>
          <w:rStyle w:val="tlid-translation"/>
        </w:rPr>
        <w:t xml:space="preserve"> von 4,8% (95% CI 3,46-6,45) in der Bevölkerung, wobei bei älteren Erwachsenen im Alter von 65-95 Jahren ein anhaltend geringer Anteil an Antikörpern positiv ist (3,0%, 95% CI 1,51) -5,30). Der Anteil an positiven Antikörpern bei Erwachsenen zwischen 20 und 64 Jahren betrug 5,2% (95% CI 3,18-7,87) und bei </w:t>
      </w:r>
      <w:r w:rsidR="0007405C" w:rsidRPr="004F61C6">
        <w:rPr>
          <w:rStyle w:val="tlid-translation"/>
          <w:b/>
        </w:rPr>
        <w:t>Kindern 5,4%</w:t>
      </w:r>
      <w:r w:rsidR="0007405C" w:rsidRPr="004F61C6">
        <w:rPr>
          <w:rStyle w:val="tlid-translation"/>
        </w:rPr>
        <w:t xml:space="preserve"> (95% CI 3,30-8,35), Abbildung 1.</w:t>
      </w:r>
      <w:r w:rsidR="0007405C" w:rsidRPr="004F61C6">
        <w:rPr>
          <w:rStyle w:val="tlid-translation"/>
        </w:rPr>
        <w:br/>
      </w:r>
    </w:p>
    <w:p w:rsidR="0037331C" w:rsidRDefault="0007405C" w:rsidP="0007405C">
      <w:pPr>
        <w:spacing w:after="0" w:line="240" w:lineRule="auto"/>
        <w:rPr>
          <w:rStyle w:val="tlid-translation"/>
          <w:b/>
        </w:rPr>
      </w:pPr>
      <w:r w:rsidRPr="004F61C6">
        <w:rPr>
          <w:rStyle w:val="tlid-translation"/>
        </w:rPr>
        <w:t>Die Region Stockholm wies mit 7,4% (95% CI 4,6</w:t>
      </w:r>
      <w:r w:rsidR="004F61C6">
        <w:rPr>
          <w:rStyle w:val="tlid-translation"/>
        </w:rPr>
        <w:t>-</w:t>
      </w:r>
      <w:r w:rsidRPr="004F61C6">
        <w:rPr>
          <w:rStyle w:val="tlid-translation"/>
        </w:rPr>
        <w:t xml:space="preserve">11,00) den höchsten Anteil an Antikörpern auf, gefolgt von </w:t>
      </w:r>
      <w:proofErr w:type="spellStart"/>
      <w:r w:rsidRPr="004F61C6">
        <w:rPr>
          <w:rStyle w:val="tlid-translation"/>
        </w:rPr>
        <w:t>Västra</w:t>
      </w:r>
      <w:proofErr w:type="spellEnd"/>
      <w:r w:rsidRPr="004F61C6">
        <w:rPr>
          <w:rStyle w:val="tlid-translation"/>
        </w:rPr>
        <w:t xml:space="preserve"> </w:t>
      </w:r>
      <w:proofErr w:type="spellStart"/>
      <w:r w:rsidRPr="004F61C6">
        <w:rPr>
          <w:rStyle w:val="tlid-translation"/>
        </w:rPr>
        <w:t>Götaland</w:t>
      </w:r>
      <w:proofErr w:type="spellEnd"/>
      <w:r w:rsidRPr="004F61C6">
        <w:rPr>
          <w:rStyle w:val="tlid-translation"/>
        </w:rPr>
        <w:t xml:space="preserve"> mit 4,3% (95% CI 1,90-8,37) und </w:t>
      </w:r>
      <w:proofErr w:type="spellStart"/>
      <w:r w:rsidRPr="004F61C6">
        <w:rPr>
          <w:rStyle w:val="tlid-translation"/>
        </w:rPr>
        <w:t>Skåne</w:t>
      </w:r>
      <w:proofErr w:type="spellEnd"/>
      <w:r w:rsidRPr="004F61C6">
        <w:rPr>
          <w:rStyle w:val="tlid-translation"/>
        </w:rPr>
        <w:t xml:space="preserve"> mit 3,2% (95%) KI 1,13-7,00).</w:t>
      </w:r>
      <w:r w:rsidRPr="004F61C6">
        <w:rPr>
          <w:rStyle w:val="tlid-translation"/>
        </w:rPr>
        <w:br/>
      </w:r>
    </w:p>
    <w:p w:rsidR="0037331C" w:rsidRDefault="004F61C6" w:rsidP="0007405C">
      <w:pPr>
        <w:spacing w:after="0" w:line="240" w:lineRule="auto"/>
        <w:rPr>
          <w:rStyle w:val="tlid-translation"/>
        </w:rPr>
      </w:pPr>
      <w:proofErr w:type="spellStart"/>
      <w:r w:rsidRPr="004F61C6">
        <w:rPr>
          <w:rStyle w:val="tlid-translation"/>
          <w:b/>
        </w:rPr>
        <w:t>Beprobungszeitraum</w:t>
      </w:r>
      <w:proofErr w:type="spellEnd"/>
      <w:r w:rsidR="0007405C" w:rsidRPr="004F61C6">
        <w:rPr>
          <w:rStyle w:val="tlid-translation"/>
          <w:b/>
        </w:rPr>
        <w:t xml:space="preserve"> 11.-17. Mai (Woche 20)</w:t>
      </w:r>
      <w:r w:rsidR="0007405C" w:rsidRPr="004F61C6">
        <w:rPr>
          <w:rStyle w:val="tlid-translation"/>
          <w:b/>
        </w:rPr>
        <w:br/>
      </w:r>
      <w:r w:rsidR="0007405C" w:rsidRPr="004F61C6">
        <w:rPr>
          <w:rStyle w:val="tlid-translation"/>
        </w:rPr>
        <w:t xml:space="preserve">Daten für den Erfassungszeitraum vom 11. bis 15. Mai (Woche 20) zeigen, dass 6,1% der Bevölkerung nach Covid-19 Antikörper haben, wobei ein sehr geringer Anteil an Antikörpern bei älteren Menschen (65-95 Jahre; 2,9%) positiv ist, gefolgt von Erwachsenen. (20-64 Jahre; 6,5%) und </w:t>
      </w:r>
      <w:r w:rsidR="0007405C" w:rsidRPr="004F61C6">
        <w:rPr>
          <w:rStyle w:val="tlid-translation"/>
          <w:b/>
        </w:rPr>
        <w:t>Kinder  7,5%)</w:t>
      </w:r>
      <w:r w:rsidR="0007405C" w:rsidRPr="004F61C6">
        <w:rPr>
          <w:rStyle w:val="tlid-translation"/>
        </w:rPr>
        <w:t xml:space="preserve"> zeigen einen Trend zu einem zunehmenden Anteil an positiven Antikörpern (Abbildung 1).</w:t>
      </w:r>
      <w:r w:rsidR="0007405C" w:rsidRPr="004F61C6">
        <w:rPr>
          <w:rStyle w:val="tlid-translation"/>
        </w:rPr>
        <w:br/>
      </w:r>
    </w:p>
    <w:p w:rsidR="0007405C" w:rsidRPr="004F61C6" w:rsidRDefault="0007405C" w:rsidP="0007405C">
      <w:pPr>
        <w:spacing w:after="0" w:line="240" w:lineRule="auto"/>
        <w:rPr>
          <w:rStyle w:val="tlid-translation"/>
        </w:rPr>
      </w:pPr>
      <w:r w:rsidRPr="004F61C6">
        <w:rPr>
          <w:rStyle w:val="tlid-translation"/>
        </w:rPr>
        <w:t>Der Anteil an positiven Antikörpern war in Stockholm immer noch am höchsten (10,2%; 95% CI</w:t>
      </w:r>
      <w:r w:rsidR="004F61C6" w:rsidRPr="004F61C6">
        <w:rPr>
          <w:rStyle w:val="tlid-translation"/>
        </w:rPr>
        <w:t xml:space="preserve"> </w:t>
      </w:r>
      <w:r w:rsidRPr="004F61C6">
        <w:rPr>
          <w:rStyle w:val="tlid-translation"/>
        </w:rPr>
        <w:t xml:space="preserve">7.06-14.18), während der Anteil in </w:t>
      </w:r>
      <w:proofErr w:type="spellStart"/>
      <w:r w:rsidRPr="004F61C6">
        <w:rPr>
          <w:rStyle w:val="tlid-translation"/>
        </w:rPr>
        <w:t>Skåne</w:t>
      </w:r>
      <w:proofErr w:type="spellEnd"/>
      <w:r w:rsidRPr="004F61C6">
        <w:rPr>
          <w:rStyle w:val="tlid-translation"/>
        </w:rPr>
        <w:t xml:space="preserve"> 4,4% (95% CI 1,47-9,75) und in </w:t>
      </w:r>
      <w:proofErr w:type="spellStart"/>
      <w:r w:rsidRPr="004F61C6">
        <w:rPr>
          <w:rStyle w:val="tlid-translation"/>
        </w:rPr>
        <w:t>Västra</w:t>
      </w:r>
      <w:proofErr w:type="spellEnd"/>
      <w:r w:rsidRPr="004F61C6">
        <w:rPr>
          <w:rStyle w:val="tlid-translation"/>
        </w:rPr>
        <w:t xml:space="preserve"> </w:t>
      </w:r>
      <w:proofErr w:type="spellStart"/>
      <w:r w:rsidRPr="004F61C6">
        <w:rPr>
          <w:rStyle w:val="tlid-translation"/>
        </w:rPr>
        <w:t>Götaland</w:t>
      </w:r>
      <w:proofErr w:type="spellEnd"/>
      <w:r w:rsidRPr="004F61C6">
        <w:rPr>
          <w:rStyle w:val="tlid-translation"/>
        </w:rPr>
        <w:t xml:space="preserve"> 4,2% (95% CI </w:t>
      </w:r>
      <w:r w:rsidRPr="004F61C6">
        <w:rPr>
          <w:rStyle w:val="tlid-translation"/>
        </w:rPr>
        <w:lastRenderedPageBreak/>
        <w:t>1,94-7,86) betrug.</w:t>
      </w:r>
      <w:r w:rsidRPr="004F61C6">
        <w:rPr>
          <w:rStyle w:val="tlid-translation"/>
        </w:rPr>
        <w:br/>
      </w:r>
    </w:p>
    <w:p w:rsidR="0007405C" w:rsidRPr="004F61C6" w:rsidRDefault="0007405C" w:rsidP="0007405C">
      <w:pPr>
        <w:spacing w:after="0" w:line="240" w:lineRule="auto"/>
        <w:rPr>
          <w:rStyle w:val="tlid-translation"/>
        </w:rPr>
      </w:pPr>
      <w:r w:rsidRPr="004F61C6">
        <w:rPr>
          <w:rStyle w:val="tlid-translation"/>
        </w:rPr>
        <w:t>Es ist ungewiss, ob diese Ergebnisse für die Bevölkerung repräsentativ sind, da sich die ambulanten Kontakte während der Pandemie geändert haben.</w:t>
      </w:r>
    </w:p>
    <w:p w:rsidR="00791ED4" w:rsidRPr="004F61C6" w:rsidRDefault="00791ED4" w:rsidP="004F61C6">
      <w:pPr>
        <w:spacing w:after="0" w:line="240" w:lineRule="auto"/>
        <w:rPr>
          <w:rStyle w:val="tlid-translation"/>
        </w:rPr>
      </w:pPr>
    </w:p>
    <w:sectPr w:rsidR="00791ED4" w:rsidRPr="004F6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5C"/>
    <w:rsid w:val="0007405C"/>
    <w:rsid w:val="002D0B8E"/>
    <w:rsid w:val="00362EF7"/>
    <w:rsid w:val="0037331C"/>
    <w:rsid w:val="004F61C6"/>
    <w:rsid w:val="00791ED4"/>
    <w:rsid w:val="007A1A51"/>
    <w:rsid w:val="00A801BF"/>
    <w:rsid w:val="00E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A1A51"/>
  </w:style>
  <w:style w:type="paragraph" w:customStyle="1" w:styleId="Default">
    <w:name w:val="Default"/>
    <w:rsid w:val="00E96C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A1A51"/>
  </w:style>
  <w:style w:type="paragraph" w:customStyle="1" w:styleId="Default">
    <w:name w:val="Default"/>
    <w:rsid w:val="00E96C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Schiffmann</dc:creator>
  <cp:lastModifiedBy>Holger Schiffmann</cp:lastModifiedBy>
  <cp:revision>4</cp:revision>
  <dcterms:created xsi:type="dcterms:W3CDTF">2020-06-18T06:49:00Z</dcterms:created>
  <dcterms:modified xsi:type="dcterms:W3CDTF">2020-06-20T12:51:00Z</dcterms:modified>
</cp:coreProperties>
</file>